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B2" w:rsidRDefault="005C395D">
      <w:r>
        <w:rPr>
          <w:rFonts w:eastAsia="MS Mincho"/>
          <w:i/>
          <w:iCs/>
        </w:rPr>
        <w:t xml:space="preserve">Plusieurs </w:t>
      </w:r>
      <w:r>
        <w:rPr>
          <w:i/>
          <w:iCs/>
        </w:rPr>
        <w:t xml:space="preserve">théologiens </w:t>
      </w:r>
      <w:r>
        <w:rPr>
          <w:rStyle w:val="lev"/>
          <w:b w:val="0"/>
          <w:bCs w:val="0"/>
          <w:i/>
          <w:iCs/>
        </w:rPr>
        <w:t xml:space="preserve">interpellent les Églises réformées évangéliques sur des sujets qui peuvent les orienter vers des débats bienveillants </w:t>
      </w:r>
      <w:r>
        <w:rPr>
          <w:i/>
          <w:iCs/>
        </w:rPr>
        <w:t xml:space="preserve">et les encourager à vivre leur vocation commune dans la société aujourd’hui. </w:t>
      </w:r>
    </w:p>
    <w:p w:rsidR="002F3BB2" w:rsidRDefault="002F3BB2">
      <w:pPr>
        <w:rPr>
          <w:i/>
          <w:iCs/>
        </w:rPr>
      </w:pPr>
    </w:p>
    <w:p w:rsidR="002F3BB2" w:rsidRDefault="005C395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Ce mois-ci, « La lettre aux Églises »  évoque </w:t>
      </w:r>
    </w:p>
    <w:p w:rsidR="002F3BB2" w:rsidRDefault="005C395D">
      <w:pPr>
        <w:jc w:val="center"/>
        <w:rPr>
          <w:b/>
          <w:bCs/>
        </w:rPr>
      </w:pPr>
      <w:r>
        <w:rPr>
          <w:b/>
          <w:bCs/>
        </w:rPr>
        <w:t>LE ROYAUME DE DIEU</w:t>
      </w:r>
    </w:p>
    <w:p w:rsidR="002F3BB2" w:rsidRDefault="002F3BB2"/>
    <w:p w:rsidR="002F3BB2" w:rsidRDefault="005C395D">
      <w:pPr>
        <w:pStyle w:val="Normal1"/>
        <w:ind w:firstLine="0"/>
      </w:pPr>
      <w:r>
        <w:t>C’est le sujet favori de Jés</w:t>
      </w:r>
      <w:bookmarkStart w:id="0" w:name="_GoBack"/>
      <w:bookmarkEnd w:id="0"/>
      <w:r>
        <w:t>us, il en parle tout le temps, c’est même, selon lui, le contenu de l’évangile que ses disciples devront annoncer (Mt 24.14) ! Alors qu’en est-il vraiment pour n</w:t>
      </w:r>
      <w:r>
        <w:t>ous aujourd’hui ? Sommes-nous au clair avec ce sujet essentiel ?</w:t>
      </w:r>
    </w:p>
    <w:p w:rsidR="002F3BB2" w:rsidRDefault="005C395D">
      <w:pPr>
        <w:pStyle w:val="Normal1"/>
        <w:ind w:firstLine="0"/>
      </w:pPr>
      <w:r>
        <w:t>Dans le « Notre Père », nous demandons à Dieu que son règne vienne et nous affirmons que ce règne est effectif lorsque son « nom » est « sanctifié », c’est-à-dire lorsqu’il est reconnu. Force</w:t>
      </w:r>
      <w:r>
        <w:t xml:space="preserve"> est de constater que ce règne est encore en devenir sur la terre mais un jour viendra où il y sera parfaitement établi comme il l’est dans le ciel (Mt 6.9-10). Comprenons-nous ce que cela signifie concrètement ?</w:t>
      </w:r>
    </w:p>
    <w:p w:rsidR="002F3BB2" w:rsidRDefault="005C395D">
      <w:pPr>
        <w:pStyle w:val="Normal1"/>
        <w:ind w:firstLine="0"/>
      </w:pPr>
      <w:r>
        <w:t>Pas facile car Christ bouscule notre concep</w:t>
      </w:r>
      <w:r>
        <w:t xml:space="preserve">tion de l’autorité en affirmant être un roi-serviteur ! Il ne cherche pas à prendre le pouvoir sur nos vies mais à manifester son amour </w:t>
      </w:r>
      <w:proofErr w:type="gramStart"/>
      <w:r>
        <w:t>envers</w:t>
      </w:r>
      <w:proofErr w:type="gramEnd"/>
      <w:r>
        <w:t xml:space="preserve"> nous. Et il souhaite que nous vivions de cet amour en nous laissant façonner par le pardon de la croix. Il place </w:t>
      </w:r>
      <w:r>
        <w:t>alors le disciple au sein d’une Église pour rendre visible les attitudes du royaume : le pardon, le support mutuel, la bienveillance, ...</w:t>
      </w:r>
    </w:p>
    <w:p w:rsidR="002F3BB2" w:rsidRDefault="005C395D">
      <w:pPr>
        <w:pStyle w:val="Normal1"/>
        <w:ind w:firstLine="0"/>
      </w:pPr>
      <w:r>
        <w:t>Le royaume de Dieu fonde aussi notre espérance. Il fixe un cap pour notre prière, nos actions individuelles et notre v</w:t>
      </w:r>
      <w:r>
        <w:t xml:space="preserve">ie d’Église. Ne devrions-nous pas chercher à vivre davantage selon les perspectives que nous donne le règne de Dieu ? </w:t>
      </w:r>
    </w:p>
    <w:p w:rsidR="002F3BB2" w:rsidRDefault="002F3BB2">
      <w:pPr>
        <w:pStyle w:val="Normal1"/>
        <w:ind w:firstLine="0"/>
      </w:pPr>
    </w:p>
    <w:p w:rsidR="002F3BB2" w:rsidRDefault="005C395D">
      <w:pPr>
        <w:rPr>
          <w:b/>
          <w:bCs/>
        </w:rPr>
      </w:pPr>
      <w:r>
        <w:rPr>
          <w:rFonts w:eastAsia="MS Mincho"/>
          <w:b/>
          <w:bCs/>
        </w:rPr>
        <w:t>À débattre</w:t>
      </w:r>
    </w:p>
    <w:p w:rsidR="002F3BB2" w:rsidRDefault="005C395D">
      <w:pPr>
        <w:rPr>
          <w:b/>
          <w:bCs/>
        </w:rPr>
      </w:pPr>
      <w:r>
        <w:rPr>
          <w:rFonts w:eastAsia="MS Mincho"/>
        </w:rPr>
        <w:t>À</w:t>
      </w:r>
      <w:r>
        <w:t xml:space="preserve"> quoi peut bien ressembler la vie d’une Église dont les membres vivent dans la perspective du Royaume ? Que pouvons-nous fai</w:t>
      </w:r>
      <w:r>
        <w:t xml:space="preserve">re pour avancer en ce sens ? </w:t>
      </w:r>
      <w:r>
        <w:rPr>
          <w:rStyle w:val="Aucun"/>
          <w:color w:val="00000A"/>
        </w:rPr>
        <w:t>La foi chrétienne se définit-elle principalement en rapport avec le présent (la foi) ou avec l’avenir (l’espérance) ? Peut-on dire que l’espérance conditionne notre marche présente autant que la foi ?</w:t>
      </w:r>
    </w:p>
    <w:p w:rsidR="002F3BB2" w:rsidRDefault="002F3BB2"/>
    <w:p w:rsidR="002F3BB2" w:rsidRDefault="005C395D">
      <w:pPr>
        <w:rPr>
          <w:i/>
          <w:iCs/>
        </w:rPr>
      </w:pPr>
      <w:r>
        <w:rPr>
          <w:i/>
          <w:iCs/>
        </w:rPr>
        <w:t>Poursuivez la réflexion e</w:t>
      </w:r>
      <w:r>
        <w:rPr>
          <w:i/>
          <w:iCs/>
        </w:rPr>
        <w:t>n lisant « La lettre aux Églises » et en cherchant à en discuter dans votre Église à l’aide du kit d’animation (http://www.unepref.com/coordination-edification/edification-personnelle/lettres-aux-eglises.html).</w:t>
      </w:r>
    </w:p>
    <w:p w:rsidR="002F3BB2" w:rsidRDefault="002F3BB2"/>
    <w:p w:rsidR="002F3BB2" w:rsidRDefault="005C395D">
      <w:pPr>
        <w:rPr>
          <w:b/>
          <w:bCs/>
        </w:rPr>
      </w:pPr>
      <w:r>
        <w:rPr>
          <w:b/>
          <w:bCs/>
        </w:rPr>
        <w:t xml:space="preserve">L’auteur de la </w:t>
      </w:r>
      <w:r>
        <w:rPr>
          <w:b/>
          <w:bCs/>
          <w:i/>
          <w:iCs/>
        </w:rPr>
        <w:t>Lettre aux Églises</w:t>
      </w:r>
    </w:p>
    <w:p w:rsidR="002F3BB2" w:rsidRDefault="005C395D">
      <w:pPr>
        <w:pStyle w:val="Corpsdetexte"/>
        <w:jc w:val="both"/>
      </w:pPr>
      <w:r>
        <w:rPr>
          <w:b/>
          <w:bCs/>
        </w:rPr>
        <w:t>Donald Cob</w:t>
      </w:r>
      <w:r>
        <w:rPr>
          <w:b/>
          <w:bCs/>
        </w:rPr>
        <w:t>b</w:t>
      </w:r>
      <w:r>
        <w:t xml:space="preserve"> est professeur de Nouveau Testament et de grec à la Faculté Jean Calvin (Aix-en-Provence). Il est titulaire d’un Doctorat sur le sens et la fonction de l’Alliance dans l’épître de Paul aux Galates. </w:t>
      </w:r>
      <w:r>
        <w:t>Il rédige régulièrement des articles pour La Revue réfor</w:t>
      </w:r>
      <w:r>
        <w:t>mée et des dictionnaires de théologie. Il vient de publier un livre sur l'espérance chrétienne intitulé</w:t>
      </w:r>
      <w:proofErr w:type="gramStart"/>
      <w:r>
        <w:t>,</w:t>
      </w:r>
      <w:proofErr w:type="gramEnd"/>
      <w:r>
        <w:br/>
      </w:r>
      <w:r>
        <w:rPr>
          <w:i/>
          <w:iCs/>
        </w:rPr>
        <w:t>L’espérance, comment demain transformé aujourd'hui</w:t>
      </w:r>
      <w:r>
        <w:t xml:space="preserve">, aux éditions Farel.  </w:t>
      </w:r>
    </w:p>
    <w:p w:rsidR="002F3BB2" w:rsidRDefault="002F3BB2"/>
    <w:p w:rsidR="002F3BB2" w:rsidRDefault="002F3BB2"/>
    <w:sectPr w:rsidR="002F3B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Bold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B2"/>
    <w:rsid w:val="002F3BB2"/>
    <w:rsid w:val="005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  <w:rsid w:val="00724C16"/>
  </w:style>
  <w:style w:type="character" w:styleId="lev">
    <w:name w:val="Strong"/>
    <w:basedOn w:val="Policepardfaut"/>
    <w:qFormat/>
    <w:rPr>
      <w:b/>
      <w:bCs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342C6"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Body">
    <w:name w:val="Body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/>
      <w:jc w:val="both"/>
    </w:pPr>
  </w:style>
  <w:style w:type="paragraph" w:customStyle="1" w:styleId="Normal1">
    <w:name w:val="Normal1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firstLine="142"/>
      <w:jc w:val="both"/>
    </w:pPr>
  </w:style>
  <w:style w:type="paragraph" w:customStyle="1" w:styleId="En-tte1">
    <w:name w:val="En-tête1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00" w:lineRule="exact"/>
      <w:jc w:val="both"/>
    </w:pPr>
    <w:rPr>
      <w:rFonts w:ascii="Helvetica Neue Bold" w:hAnsi="Helvetica Neue Bold" w:cs="Helvetica Neue Bold"/>
      <w:b/>
      <w:bCs/>
      <w:sz w:val="36"/>
      <w:szCs w:val="36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ederemarque">
    <w:name w:val="Texte de remarque"/>
    <w:qFormat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  <w:rsid w:val="00724C16"/>
  </w:style>
  <w:style w:type="character" w:styleId="lev">
    <w:name w:val="Strong"/>
    <w:basedOn w:val="Policepardfaut"/>
    <w:qFormat/>
    <w:rPr>
      <w:b/>
      <w:bCs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342C6"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Body">
    <w:name w:val="Body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/>
      <w:jc w:val="both"/>
    </w:pPr>
  </w:style>
  <w:style w:type="paragraph" w:customStyle="1" w:styleId="Normal1">
    <w:name w:val="Normal1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firstLine="142"/>
      <w:jc w:val="both"/>
    </w:pPr>
  </w:style>
  <w:style w:type="paragraph" w:customStyle="1" w:styleId="En-tte1">
    <w:name w:val="En-tête1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00" w:lineRule="exact"/>
      <w:jc w:val="both"/>
    </w:pPr>
    <w:rPr>
      <w:rFonts w:ascii="Helvetica Neue Bold" w:hAnsi="Helvetica Neue Bold" w:cs="Helvetica Neue Bold"/>
      <w:b/>
      <w:bCs/>
      <w:sz w:val="36"/>
      <w:szCs w:val="36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ederemarque">
    <w:name w:val="Texte de remarque"/>
    <w:qFormat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COBB</dc:creator>
  <cp:lastModifiedBy>Serge</cp:lastModifiedBy>
  <cp:revision>2</cp:revision>
  <dcterms:created xsi:type="dcterms:W3CDTF">2020-12-09T07:57:00Z</dcterms:created>
  <dcterms:modified xsi:type="dcterms:W3CDTF">2020-12-09T07:57:00Z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